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F68E6" w14:textId="77777777" w:rsidR="00104831" w:rsidRPr="00104831" w:rsidRDefault="00104831" w:rsidP="00104831">
      <w:pPr>
        <w:tabs>
          <w:tab w:val="left" w:pos="2552"/>
        </w:tabs>
        <w:spacing w:after="120"/>
      </w:pPr>
      <w:r w:rsidRPr="00104831">
        <w:t>Správa železnic, státní organizace</w:t>
      </w:r>
    </w:p>
    <w:p w14:paraId="3547FEDF" w14:textId="77777777" w:rsidR="00104831" w:rsidRPr="00C1160A" w:rsidRDefault="00104831" w:rsidP="00104831">
      <w:pPr>
        <w:tabs>
          <w:tab w:val="left" w:pos="2552"/>
        </w:tabs>
        <w:spacing w:after="120"/>
      </w:pPr>
      <w:r w:rsidRPr="00C1160A">
        <w:t>Dlážděná 1003/7, Praha 1  110 00</w:t>
      </w:r>
    </w:p>
    <w:p w14:paraId="26097726" w14:textId="77777777" w:rsidR="00104831" w:rsidRPr="00104831" w:rsidRDefault="00104831" w:rsidP="00104831">
      <w:pPr>
        <w:tabs>
          <w:tab w:val="left" w:pos="2552"/>
        </w:tabs>
        <w:spacing w:after="120"/>
      </w:pPr>
      <w:r w:rsidRPr="00104831">
        <w:t>IČ: 709 94 234</w:t>
      </w:r>
    </w:p>
    <w:p w14:paraId="542CA0E1" w14:textId="77777777" w:rsidR="00104831" w:rsidRPr="00104831" w:rsidRDefault="00104831" w:rsidP="00104831">
      <w:pPr>
        <w:tabs>
          <w:tab w:val="left" w:pos="2552"/>
        </w:tabs>
        <w:spacing w:after="480"/>
      </w:pPr>
      <w:r w:rsidRPr="00104831">
        <w:t>DIČ: CZ 709 94 234</w:t>
      </w:r>
    </w:p>
    <w:p w14:paraId="4F24BACB" w14:textId="77777777" w:rsidR="006B77EF" w:rsidRDefault="006B77EF" w:rsidP="006B77EF">
      <w:pPr>
        <w:spacing w:before="120"/>
        <w:jc w:val="center"/>
        <w:rPr>
          <w:b/>
          <w:sz w:val="44"/>
          <w:szCs w:val="44"/>
        </w:rPr>
      </w:pPr>
      <w:r w:rsidRPr="00104831">
        <w:rPr>
          <w:b/>
          <w:sz w:val="44"/>
          <w:szCs w:val="44"/>
        </w:rPr>
        <w:t xml:space="preserve">POPIS NEINVESTIČNÍ </w:t>
      </w:r>
      <w:r w:rsidR="008360A6" w:rsidRPr="00104831">
        <w:rPr>
          <w:b/>
          <w:sz w:val="44"/>
          <w:szCs w:val="44"/>
        </w:rPr>
        <w:t>POD</w:t>
      </w:r>
      <w:r w:rsidRPr="00104831">
        <w:rPr>
          <w:b/>
          <w:sz w:val="44"/>
          <w:szCs w:val="44"/>
        </w:rPr>
        <w:t>AKCE</w:t>
      </w:r>
    </w:p>
    <w:p w14:paraId="4F1EDC88" w14:textId="77777777" w:rsidR="00104831" w:rsidRPr="00104831" w:rsidRDefault="00104831" w:rsidP="006B77EF">
      <w:pPr>
        <w:spacing w:before="120"/>
        <w:jc w:val="center"/>
        <w:rPr>
          <w:b/>
        </w:rPr>
      </w:pPr>
    </w:p>
    <w:p w14:paraId="6DFF1EA0" w14:textId="57668E3B" w:rsidR="00104831" w:rsidRPr="00C1160A" w:rsidRDefault="00104831" w:rsidP="00104831">
      <w:pPr>
        <w:pBdr>
          <w:bottom w:val="single" w:sz="12" w:space="9" w:color="auto"/>
        </w:pBdr>
        <w:spacing w:line="360" w:lineRule="auto"/>
        <w:jc w:val="center"/>
        <w:rPr>
          <w:b/>
          <w:bCs/>
        </w:rPr>
      </w:pPr>
      <w:r w:rsidRPr="00C1160A">
        <w:t xml:space="preserve"> „</w:t>
      </w:r>
      <w:r w:rsidR="00E4793F" w:rsidRPr="00352E4A">
        <w:rPr>
          <w:bCs/>
        </w:rPr>
        <w:t>Odstranění škod po tornádu v odvětví SEE</w:t>
      </w:r>
      <w:r w:rsidRPr="00C1160A">
        <w:t>“</w:t>
      </w:r>
    </w:p>
    <w:p w14:paraId="6F46DC6E" w14:textId="77777777" w:rsidR="004462D3" w:rsidRPr="00C1160A" w:rsidRDefault="004462D3" w:rsidP="00B35ACA">
      <w:pPr>
        <w:pBdr>
          <w:bottom w:val="single" w:sz="12" w:space="9" w:color="auto"/>
        </w:pBdr>
        <w:spacing w:line="360" w:lineRule="auto"/>
      </w:pPr>
    </w:p>
    <w:p w14:paraId="0C834EFE" w14:textId="77777777" w:rsidR="004462D3" w:rsidRPr="00C1160A" w:rsidRDefault="004462D3" w:rsidP="004462D3">
      <w:pPr>
        <w:jc w:val="center"/>
      </w:pPr>
    </w:p>
    <w:p w14:paraId="247A1076" w14:textId="77777777" w:rsidR="004462D3" w:rsidRDefault="004462D3" w:rsidP="004462D3">
      <w:pPr>
        <w:tabs>
          <w:tab w:val="num" w:pos="540"/>
        </w:tabs>
        <w:spacing w:before="120" w:after="120"/>
        <w:ind w:left="540"/>
        <w:rPr>
          <w:b/>
          <w:bCs/>
          <w:u w:val="single"/>
        </w:rPr>
      </w:pPr>
    </w:p>
    <w:p w14:paraId="79D63C74" w14:textId="77777777" w:rsidR="002F3DC3" w:rsidRPr="00C1160A" w:rsidRDefault="002F3DC3" w:rsidP="00352E4A">
      <w:pPr>
        <w:numPr>
          <w:ilvl w:val="0"/>
          <w:numId w:val="1"/>
        </w:numPr>
        <w:tabs>
          <w:tab w:val="num" w:pos="284"/>
        </w:tabs>
        <w:spacing w:before="120" w:after="120"/>
        <w:ind w:left="540" w:hanging="540"/>
        <w:rPr>
          <w:b/>
          <w:bCs/>
          <w:u w:val="single"/>
        </w:rPr>
      </w:pPr>
      <w:r w:rsidRPr="00C1160A">
        <w:rPr>
          <w:b/>
          <w:bCs/>
          <w:u w:val="single"/>
        </w:rPr>
        <w:t>Identifikační údaje projektu</w:t>
      </w:r>
    </w:p>
    <w:p w14:paraId="2ADA3A2F" w14:textId="77777777" w:rsidR="002F3DC3" w:rsidRPr="00C1160A" w:rsidRDefault="002F3DC3" w:rsidP="002F3DC3">
      <w:r w:rsidRPr="00C1160A">
        <w:t xml:space="preserve">             </w:t>
      </w:r>
    </w:p>
    <w:p w14:paraId="10F6E349" w14:textId="7A542130" w:rsidR="00E16E89" w:rsidRPr="00C859E9" w:rsidRDefault="002F3DC3" w:rsidP="00E16E89">
      <w:pPr>
        <w:tabs>
          <w:tab w:val="left" w:pos="2552"/>
        </w:tabs>
        <w:ind w:left="3540" w:hanging="3540"/>
        <w:rPr>
          <w:i/>
        </w:rPr>
      </w:pPr>
      <w:r w:rsidRPr="00C1160A">
        <w:t>číslo projektu</w:t>
      </w:r>
      <w:r w:rsidR="005C0669">
        <w:t xml:space="preserve"> 500 312 0048</w:t>
      </w:r>
      <w:r w:rsidR="00B35ACA">
        <w:rPr>
          <w:vertAlign w:val="superscript"/>
        </w:rPr>
        <w:tab/>
      </w:r>
      <w:r w:rsidR="00E16E89">
        <w:rPr>
          <w:vertAlign w:val="superscript"/>
        </w:rPr>
        <w:tab/>
      </w:r>
      <w:r w:rsidR="00E16E89" w:rsidRPr="00C859E9">
        <w:rPr>
          <w:i/>
        </w:rPr>
        <w:t xml:space="preserve"> </w:t>
      </w:r>
    </w:p>
    <w:p w14:paraId="6A8CCD3F" w14:textId="3FBFCB85" w:rsidR="00E16E89" w:rsidRPr="00C859E9" w:rsidRDefault="00B35ACA" w:rsidP="00170951">
      <w:pPr>
        <w:tabs>
          <w:tab w:val="left" w:pos="2552"/>
        </w:tabs>
        <w:ind w:left="3540" w:hanging="3540"/>
      </w:pPr>
      <w:r w:rsidRPr="00C859E9">
        <w:t>název projektu:</w:t>
      </w:r>
      <w:r w:rsidR="009135B5" w:rsidRPr="009135B5">
        <w:t xml:space="preserve"> </w:t>
      </w:r>
      <w:r w:rsidR="00E4793F" w:rsidRPr="00071961">
        <w:rPr>
          <w:bCs/>
        </w:rPr>
        <w:t>Odstranění škod po tornádu v odvětví SEE</w:t>
      </w:r>
    </w:p>
    <w:p w14:paraId="36AAC90C" w14:textId="5138CC07" w:rsidR="002F3DC3" w:rsidRPr="00C859E9" w:rsidRDefault="00E16E89" w:rsidP="00B35ACA">
      <w:pPr>
        <w:tabs>
          <w:tab w:val="left" w:pos="2552"/>
        </w:tabs>
      </w:pPr>
      <w:r w:rsidRPr="00C859E9">
        <w:t>číslo akce z plánu oprav a údržby:</w:t>
      </w:r>
      <w:r w:rsidR="005C0669">
        <w:t xml:space="preserve"> 639210013</w:t>
      </w:r>
      <w:r w:rsidR="00B35ACA" w:rsidRPr="00C859E9">
        <w:tab/>
      </w:r>
    </w:p>
    <w:p w14:paraId="50EF9F0F" w14:textId="2C70F41E" w:rsidR="00BF00D8" w:rsidRPr="00C859E9" w:rsidRDefault="00B35ACA" w:rsidP="00B35ACA">
      <w:pPr>
        <w:tabs>
          <w:tab w:val="left" w:pos="2552"/>
        </w:tabs>
        <w:spacing w:after="480"/>
      </w:pPr>
      <w:r w:rsidRPr="00C859E9">
        <w:t>místo realizace (kraj):</w:t>
      </w:r>
      <w:r w:rsidR="000F29C9">
        <w:t xml:space="preserve"> </w:t>
      </w:r>
      <w:r w:rsidR="00E4793F">
        <w:t>Jihomoravský kraj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5"/>
        <w:gridCol w:w="3019"/>
        <w:gridCol w:w="713"/>
        <w:gridCol w:w="2305"/>
      </w:tblGrid>
      <w:tr w:rsidR="00C859E9" w:rsidRPr="00C859E9" w14:paraId="1159AAC0" w14:textId="77777777" w:rsidTr="005146B6">
        <w:trPr>
          <w:jc w:val="center"/>
        </w:trPr>
        <w:tc>
          <w:tcPr>
            <w:tcW w:w="6757" w:type="dxa"/>
            <w:gridSpan w:val="3"/>
          </w:tcPr>
          <w:p w14:paraId="13B5EA27" w14:textId="77777777" w:rsidR="002F3DC3" w:rsidRPr="00C859E9" w:rsidRDefault="002F3DC3" w:rsidP="007A3B1A">
            <w:r w:rsidRPr="00C859E9">
              <w:t xml:space="preserve">Předpokládané celkové neinvestiční náklady v cenové úrovni roku:                </w:t>
            </w:r>
          </w:p>
        </w:tc>
        <w:tc>
          <w:tcPr>
            <w:tcW w:w="2305" w:type="dxa"/>
          </w:tcPr>
          <w:p w14:paraId="44E49CA1" w14:textId="6EC2500B" w:rsidR="002F3DC3" w:rsidRPr="00C859E9" w:rsidRDefault="00EE2A30">
            <w:pPr>
              <w:rPr>
                <w:i/>
              </w:rPr>
            </w:pPr>
            <w:r>
              <w:rPr>
                <w:i/>
              </w:rPr>
              <w:t>202</w:t>
            </w:r>
            <w:r w:rsidR="00E4793F">
              <w:rPr>
                <w:i/>
              </w:rPr>
              <w:t>1</w:t>
            </w:r>
          </w:p>
        </w:tc>
      </w:tr>
      <w:tr w:rsidR="002F3DC3" w:rsidRPr="00C1160A" w14:paraId="3802880C" w14:textId="77777777" w:rsidTr="005146B6">
        <w:trPr>
          <w:jc w:val="center"/>
        </w:trPr>
        <w:tc>
          <w:tcPr>
            <w:tcW w:w="3025" w:type="dxa"/>
          </w:tcPr>
          <w:p w14:paraId="37F84E8F" w14:textId="578AB9A4" w:rsidR="002F3DC3" w:rsidRPr="00C1160A" w:rsidRDefault="005C0669" w:rsidP="007A3B1A">
            <w:r w:rsidRPr="00C1160A">
              <w:t>P</w:t>
            </w:r>
            <w:r w:rsidR="002F3DC3" w:rsidRPr="00C1160A">
              <w:t>oložka</w:t>
            </w:r>
          </w:p>
        </w:tc>
        <w:tc>
          <w:tcPr>
            <w:tcW w:w="3019" w:type="dxa"/>
          </w:tcPr>
          <w:p w14:paraId="4BEA9060" w14:textId="77777777" w:rsidR="002F3DC3" w:rsidRPr="00C1160A" w:rsidRDefault="002F3DC3" w:rsidP="00193CBE">
            <w:pPr>
              <w:jc w:val="center"/>
            </w:pPr>
            <w:r w:rsidRPr="00C1160A">
              <w:t>tis. Kč (bez DPH)</w:t>
            </w:r>
          </w:p>
        </w:tc>
        <w:tc>
          <w:tcPr>
            <w:tcW w:w="3018" w:type="dxa"/>
            <w:gridSpan w:val="2"/>
          </w:tcPr>
          <w:p w14:paraId="00B19735" w14:textId="77777777" w:rsidR="002F3DC3" w:rsidRPr="00C1160A" w:rsidRDefault="002F3DC3" w:rsidP="00193CBE">
            <w:pPr>
              <w:jc w:val="center"/>
            </w:pPr>
            <w:r w:rsidRPr="00C1160A">
              <w:t>tis. Kč (vč. DPH)</w:t>
            </w:r>
          </w:p>
        </w:tc>
      </w:tr>
      <w:tr w:rsidR="002F3DC3" w:rsidRPr="00C1160A" w14:paraId="00757E9A" w14:textId="77777777" w:rsidTr="005146B6">
        <w:trPr>
          <w:jc w:val="center"/>
        </w:trPr>
        <w:tc>
          <w:tcPr>
            <w:tcW w:w="3025" w:type="dxa"/>
          </w:tcPr>
          <w:p w14:paraId="542A0C40" w14:textId="77777777" w:rsidR="002F3DC3" w:rsidRPr="00C1160A" w:rsidRDefault="002F3DC3" w:rsidP="007A3B1A">
            <w:r w:rsidRPr="00C1160A">
              <w:t xml:space="preserve">Veřejné rozpočty – </w:t>
            </w:r>
            <w:r w:rsidRPr="00C1160A">
              <w:rPr>
                <w:i/>
              </w:rPr>
              <w:t xml:space="preserve">doprava -  </w:t>
            </w:r>
            <w:r w:rsidR="00E94F01" w:rsidRPr="00E94F01">
              <w:rPr>
                <w:i/>
                <w:sz w:val="16"/>
                <w:szCs w:val="16"/>
              </w:rPr>
              <w:t>(</w:t>
            </w:r>
            <w:r w:rsidRPr="00C1160A">
              <w:rPr>
                <w:i/>
                <w:sz w:val="16"/>
                <w:szCs w:val="16"/>
              </w:rPr>
              <w:t>SFDI, kap., OP Doprava, TEN-T, EIB)</w:t>
            </w:r>
          </w:p>
        </w:tc>
        <w:tc>
          <w:tcPr>
            <w:tcW w:w="3019" w:type="dxa"/>
          </w:tcPr>
          <w:p w14:paraId="6C24DB06" w14:textId="3678020A" w:rsidR="002F3DC3" w:rsidRPr="00C1160A" w:rsidRDefault="00E4793F">
            <w:r>
              <w:t>210 </w:t>
            </w:r>
            <w:r w:rsidR="00566E3D">
              <w:t>000</w:t>
            </w:r>
            <w:r>
              <w:t xml:space="preserve"> </w:t>
            </w:r>
          </w:p>
        </w:tc>
        <w:tc>
          <w:tcPr>
            <w:tcW w:w="3018" w:type="dxa"/>
            <w:gridSpan w:val="2"/>
          </w:tcPr>
          <w:p w14:paraId="5CF364F9" w14:textId="69451CE6" w:rsidR="002F3DC3" w:rsidRPr="00C1160A" w:rsidRDefault="00E4793F">
            <w:r>
              <w:t>254 1</w:t>
            </w:r>
            <w:r w:rsidR="00566E3D">
              <w:t>00</w:t>
            </w:r>
          </w:p>
        </w:tc>
      </w:tr>
      <w:tr w:rsidR="002F3DC3" w:rsidRPr="00C1160A" w14:paraId="40380643" w14:textId="77777777" w:rsidTr="005146B6">
        <w:trPr>
          <w:jc w:val="center"/>
        </w:trPr>
        <w:tc>
          <w:tcPr>
            <w:tcW w:w="3025" w:type="dxa"/>
          </w:tcPr>
          <w:p w14:paraId="36867AC4" w14:textId="77777777" w:rsidR="002F3DC3" w:rsidRPr="00C1160A" w:rsidRDefault="002F3DC3" w:rsidP="007A3B1A">
            <w:r w:rsidRPr="00C1160A">
              <w:t>Ostatní veřejné zdroje</w:t>
            </w:r>
          </w:p>
          <w:p w14:paraId="60207A1C" w14:textId="77777777" w:rsidR="002F3DC3" w:rsidRPr="00C1160A" w:rsidRDefault="002F3DC3" w:rsidP="007A3B1A">
            <w:pPr>
              <w:rPr>
                <w:i/>
                <w:sz w:val="16"/>
                <w:szCs w:val="16"/>
              </w:rPr>
            </w:pPr>
            <w:r w:rsidRPr="00C1160A">
              <w:rPr>
                <w:i/>
                <w:sz w:val="16"/>
                <w:szCs w:val="16"/>
              </w:rPr>
              <w:t>(uvést zdroj)</w:t>
            </w:r>
          </w:p>
        </w:tc>
        <w:tc>
          <w:tcPr>
            <w:tcW w:w="3019" w:type="dxa"/>
          </w:tcPr>
          <w:p w14:paraId="58F95F5C" w14:textId="77777777" w:rsidR="002F3DC3" w:rsidRPr="00C1160A" w:rsidRDefault="002F3DC3" w:rsidP="007A3B1A"/>
        </w:tc>
        <w:tc>
          <w:tcPr>
            <w:tcW w:w="3018" w:type="dxa"/>
            <w:gridSpan w:val="2"/>
          </w:tcPr>
          <w:p w14:paraId="71CC286E" w14:textId="77777777" w:rsidR="002F3DC3" w:rsidRPr="00C1160A" w:rsidRDefault="002F3DC3" w:rsidP="007A3B1A"/>
        </w:tc>
      </w:tr>
      <w:tr w:rsidR="002F3DC3" w:rsidRPr="00C1160A" w14:paraId="5EE07985" w14:textId="77777777" w:rsidTr="005146B6">
        <w:trPr>
          <w:jc w:val="center"/>
        </w:trPr>
        <w:tc>
          <w:tcPr>
            <w:tcW w:w="3025" w:type="dxa"/>
          </w:tcPr>
          <w:p w14:paraId="40550D62" w14:textId="77777777" w:rsidR="002F3DC3" w:rsidRPr="00C1160A" w:rsidRDefault="002F3DC3" w:rsidP="007A3B1A">
            <w:r w:rsidRPr="00C1160A">
              <w:t>Soukromé zdroje</w:t>
            </w:r>
          </w:p>
        </w:tc>
        <w:tc>
          <w:tcPr>
            <w:tcW w:w="3019" w:type="dxa"/>
          </w:tcPr>
          <w:p w14:paraId="19EF48AA" w14:textId="77777777" w:rsidR="002F3DC3" w:rsidRPr="00C1160A" w:rsidRDefault="002F3DC3" w:rsidP="007A3B1A"/>
        </w:tc>
        <w:tc>
          <w:tcPr>
            <w:tcW w:w="3018" w:type="dxa"/>
            <w:gridSpan w:val="2"/>
          </w:tcPr>
          <w:p w14:paraId="0BC34FFE" w14:textId="77777777" w:rsidR="002F3DC3" w:rsidRPr="00C1160A" w:rsidRDefault="002F3DC3" w:rsidP="007A3B1A"/>
        </w:tc>
      </w:tr>
      <w:tr w:rsidR="002F3DC3" w:rsidRPr="00C1160A" w14:paraId="129BA21B" w14:textId="77777777" w:rsidTr="005146B6">
        <w:trPr>
          <w:jc w:val="center"/>
        </w:trPr>
        <w:tc>
          <w:tcPr>
            <w:tcW w:w="3025" w:type="dxa"/>
          </w:tcPr>
          <w:p w14:paraId="64A2D0A3" w14:textId="77777777" w:rsidR="002F3DC3" w:rsidRPr="00C1160A" w:rsidRDefault="002F3DC3" w:rsidP="007A3B1A">
            <w:r w:rsidRPr="00C1160A">
              <w:t>Celkem</w:t>
            </w:r>
          </w:p>
        </w:tc>
        <w:tc>
          <w:tcPr>
            <w:tcW w:w="3019" w:type="dxa"/>
          </w:tcPr>
          <w:p w14:paraId="552AD794" w14:textId="14DF1F3C" w:rsidR="002F3DC3" w:rsidRPr="00EC411C" w:rsidRDefault="00E4793F">
            <w:pPr>
              <w:rPr>
                <w:b/>
              </w:rPr>
            </w:pPr>
            <w:r>
              <w:rPr>
                <w:b/>
              </w:rPr>
              <w:t>2</w:t>
            </w:r>
            <w:r w:rsidR="00566E3D">
              <w:rPr>
                <w:b/>
              </w:rPr>
              <w:t>10</w:t>
            </w:r>
            <w:r>
              <w:rPr>
                <w:b/>
              </w:rPr>
              <w:t xml:space="preserve"> </w:t>
            </w:r>
            <w:r w:rsidR="00566E3D">
              <w:rPr>
                <w:b/>
              </w:rPr>
              <w:t>0</w:t>
            </w:r>
            <w:r w:rsidR="00345493">
              <w:rPr>
                <w:b/>
              </w:rPr>
              <w:t>00</w:t>
            </w:r>
          </w:p>
        </w:tc>
        <w:tc>
          <w:tcPr>
            <w:tcW w:w="3018" w:type="dxa"/>
            <w:gridSpan w:val="2"/>
          </w:tcPr>
          <w:p w14:paraId="679D24DA" w14:textId="681495D1" w:rsidR="002F3DC3" w:rsidRPr="00EC411C" w:rsidRDefault="00E4793F">
            <w:pPr>
              <w:rPr>
                <w:b/>
              </w:rPr>
            </w:pPr>
            <w:r>
              <w:rPr>
                <w:b/>
              </w:rPr>
              <w:t>254</w:t>
            </w:r>
            <w:r w:rsidR="00566E3D">
              <w:rPr>
                <w:b/>
              </w:rPr>
              <w:t xml:space="preserve"> </w:t>
            </w:r>
            <w:r>
              <w:rPr>
                <w:b/>
              </w:rPr>
              <w:t>1</w:t>
            </w:r>
            <w:r w:rsidR="00566E3D">
              <w:rPr>
                <w:b/>
              </w:rPr>
              <w:t>00</w:t>
            </w:r>
          </w:p>
        </w:tc>
      </w:tr>
    </w:tbl>
    <w:p w14:paraId="45A673D9" w14:textId="7AE37E50" w:rsidR="005146B6" w:rsidRDefault="005146B6" w:rsidP="005146B6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>
        <w:rPr>
          <w:b/>
          <w:bCs/>
          <w:u w:val="single"/>
        </w:rPr>
        <w:t>P</w:t>
      </w:r>
      <w:r w:rsidRPr="004462D3">
        <w:rPr>
          <w:b/>
          <w:bCs/>
          <w:u w:val="single"/>
        </w:rPr>
        <w:t>opis stávajícího stavu a zdůvodnění nezbytnosti realizace projektu</w:t>
      </w:r>
      <w:r>
        <w:rPr>
          <w:b/>
          <w:bCs/>
          <w:u w:val="single"/>
        </w:rPr>
        <w:t>:</w:t>
      </w:r>
    </w:p>
    <w:p w14:paraId="5E7C3EEB" w14:textId="513C8E88" w:rsidR="005146B6" w:rsidRPr="00352E4A" w:rsidRDefault="005C0669" w:rsidP="00352E4A">
      <w:pPr>
        <w:pStyle w:val="Odstavecseseznamem"/>
        <w:ind w:left="0"/>
        <w:jc w:val="both"/>
      </w:pPr>
      <w:r>
        <w:t xml:space="preserve">Stavba </w:t>
      </w:r>
      <w:r w:rsidR="00E4793F" w:rsidRPr="00352E4A">
        <w:t xml:space="preserve">se týká </w:t>
      </w:r>
      <w:r w:rsidR="00730498">
        <w:t xml:space="preserve">elektrických zařízení na </w:t>
      </w:r>
      <w:r w:rsidR="00E4793F" w:rsidRPr="00352E4A">
        <w:t xml:space="preserve">stávající koridorové dvojkolejné trati </w:t>
      </w:r>
      <w:r w:rsidR="00730498">
        <w:t>Přerov –</w:t>
      </w:r>
      <w:r w:rsidR="00E4793F" w:rsidRPr="00352E4A">
        <w:t xml:space="preserve"> </w:t>
      </w:r>
      <w:r w:rsidR="00730498">
        <w:t>Břeclav, které bylo vybudováno v roce 1985. V</w:t>
      </w:r>
      <w:r w:rsidR="00E4793F" w:rsidRPr="00352E4A">
        <w:t xml:space="preserve"> úseku Hodonín </w:t>
      </w:r>
      <w:r w:rsidR="009E5EA3">
        <w:t>-</w:t>
      </w:r>
      <w:r w:rsidR="00E4793F" w:rsidRPr="00352E4A">
        <w:t xml:space="preserve"> Břeclav </w:t>
      </w:r>
      <w:r w:rsidR="00730498">
        <w:t xml:space="preserve">zde </w:t>
      </w:r>
      <w:r w:rsidR="00E4793F" w:rsidRPr="00352E4A">
        <w:t xml:space="preserve">vlivem </w:t>
      </w:r>
      <w:r w:rsidR="00730498">
        <w:t xml:space="preserve">povětrnostní kalamity a </w:t>
      </w:r>
      <w:r w:rsidR="00E4793F" w:rsidRPr="00352E4A">
        <w:t xml:space="preserve">tornáda </w:t>
      </w:r>
      <w:r w:rsidR="00730498">
        <w:t xml:space="preserve">došlo </w:t>
      </w:r>
      <w:r w:rsidR="005146B6" w:rsidRPr="00352E4A">
        <w:t>k</w:t>
      </w:r>
      <w:r w:rsidR="00730498">
        <w:t>e</w:t>
      </w:r>
      <w:r w:rsidR="005146B6" w:rsidRPr="00352E4A">
        <w:t> značnému poškození trakčních a silnoproudých zařízení v železničních stanicích i mezistaničních úsecích</w:t>
      </w:r>
      <w:r w:rsidR="00730498">
        <w:t xml:space="preserve"> v </w:t>
      </w:r>
      <w:r w:rsidR="009E5EA3">
        <w:t xml:space="preserve">km </w:t>
      </w:r>
      <w:r w:rsidR="00730498">
        <w:t xml:space="preserve">cca </w:t>
      </w:r>
      <w:r w:rsidR="009E5EA3">
        <w:t>88,100 - 103,000</w:t>
      </w:r>
      <w:r w:rsidR="005146B6" w:rsidRPr="00352E4A">
        <w:t>.</w:t>
      </w:r>
      <w:r w:rsidR="00E4793F" w:rsidRPr="00352E4A">
        <w:t xml:space="preserve"> </w:t>
      </w:r>
    </w:p>
    <w:p w14:paraId="4BB9A964" w14:textId="77777777" w:rsidR="005146B6" w:rsidRPr="00352E4A" w:rsidRDefault="005146B6" w:rsidP="00352E4A">
      <w:pPr>
        <w:pStyle w:val="Odstavecseseznamem"/>
        <w:ind w:left="0"/>
        <w:jc w:val="both"/>
      </w:pPr>
    </w:p>
    <w:p w14:paraId="217AA234" w14:textId="5F8C07EB" w:rsidR="00730498" w:rsidRPr="00375C24" w:rsidRDefault="00E4793F" w:rsidP="00730498">
      <w:pPr>
        <w:pStyle w:val="Odstavecseseznamem"/>
        <w:ind w:left="0"/>
        <w:jc w:val="both"/>
        <w:rPr>
          <w:sz w:val="20"/>
          <w:szCs w:val="18"/>
        </w:rPr>
      </w:pPr>
      <w:r w:rsidRPr="00352E4A">
        <w:t>Cílem stavby je oprava trakčního vedení a silnoproudých zařízení, která byla zničena nebo poškozena během přírodní katastrofy v dotčené oblasti dne 24. 6. 2021. Zničená zařízení budou vyměněna a napojena na stávající rozvody, budou provedeny příslušné revize a zkoušky UTZ a následné uvedení do provozu.</w:t>
      </w:r>
      <w:r w:rsidR="00730498">
        <w:t xml:space="preserve"> Zejména jde o </w:t>
      </w:r>
      <w:r w:rsidR="00730498" w:rsidRPr="00352E4A">
        <w:t>trakčních podpěr</w:t>
      </w:r>
      <w:r w:rsidR="00730498">
        <w:t>y včetně základů</w:t>
      </w:r>
      <w:r w:rsidR="00730498" w:rsidRPr="00352E4A">
        <w:t>, závěs</w:t>
      </w:r>
      <w:r w:rsidR="00730498">
        <w:t>y</w:t>
      </w:r>
      <w:r w:rsidR="00730498" w:rsidRPr="00352E4A">
        <w:t xml:space="preserve"> a lan</w:t>
      </w:r>
      <w:r w:rsidR="00730498">
        <w:t>a</w:t>
      </w:r>
      <w:r w:rsidR="00730498" w:rsidRPr="00352E4A">
        <w:t xml:space="preserve"> systému trakčního vedení, osvětlovací věž</w:t>
      </w:r>
      <w:r w:rsidR="00730498">
        <w:t>e</w:t>
      </w:r>
      <w:r w:rsidR="00730498" w:rsidRPr="00352E4A">
        <w:t>, stožár</w:t>
      </w:r>
      <w:r w:rsidR="00730498">
        <w:t>y</w:t>
      </w:r>
      <w:r w:rsidR="00730498" w:rsidRPr="00352E4A">
        <w:t>, svítidl</w:t>
      </w:r>
      <w:r w:rsidR="00730498">
        <w:t>a</w:t>
      </w:r>
      <w:r w:rsidR="00730498" w:rsidRPr="00352E4A">
        <w:t xml:space="preserve"> a související rozvod</w:t>
      </w:r>
      <w:r w:rsidR="00730498">
        <w:t>y</w:t>
      </w:r>
      <w:r w:rsidR="00730498" w:rsidRPr="00352E4A">
        <w:t>.</w:t>
      </w:r>
    </w:p>
    <w:p w14:paraId="50C9EDB9" w14:textId="77777777" w:rsidR="005146B6" w:rsidRPr="00352E4A" w:rsidRDefault="005146B6" w:rsidP="00352E4A">
      <w:pPr>
        <w:pStyle w:val="Odstavecseseznamem"/>
        <w:ind w:left="0"/>
        <w:jc w:val="both"/>
      </w:pPr>
    </w:p>
    <w:p w14:paraId="53FAE627" w14:textId="476EA4DD" w:rsidR="005146B6" w:rsidRPr="00352E4A" w:rsidRDefault="005146B6" w:rsidP="00352E4A">
      <w:pPr>
        <w:pStyle w:val="Odstavecseseznamem"/>
        <w:ind w:left="0"/>
        <w:jc w:val="both"/>
      </w:pPr>
      <w:r w:rsidRPr="00352E4A">
        <w:t xml:space="preserve">Předmětem akce je vyhotovení </w:t>
      </w:r>
      <w:r w:rsidR="00730498">
        <w:t>p</w:t>
      </w:r>
      <w:r w:rsidRPr="00352E4A">
        <w:t xml:space="preserve">rojektové dokumentace pro provádění stavby a </w:t>
      </w:r>
      <w:r w:rsidR="00196D72">
        <w:t xml:space="preserve">zároveň </w:t>
      </w:r>
      <w:r w:rsidRPr="00352E4A">
        <w:t xml:space="preserve">provedení stavby </w:t>
      </w:r>
      <w:r w:rsidR="00730498">
        <w:t xml:space="preserve">pro </w:t>
      </w:r>
      <w:bookmarkStart w:id="0" w:name="_GoBack"/>
      <w:bookmarkEnd w:id="0"/>
      <w:r w:rsidR="00730498">
        <w:t>obnovení provozu elektrické trakce v</w:t>
      </w:r>
      <w:r w:rsidR="00177A83">
        <w:t xml:space="preserve"> poškozeném </w:t>
      </w:r>
      <w:r w:rsidR="00730498">
        <w:t>úseku</w:t>
      </w:r>
      <w:r w:rsidRPr="00352E4A">
        <w:t>.</w:t>
      </w:r>
    </w:p>
    <w:p w14:paraId="7ED969D5" w14:textId="77777777" w:rsidR="005146B6" w:rsidRPr="00352E4A" w:rsidRDefault="005146B6" w:rsidP="00352E4A">
      <w:pPr>
        <w:pStyle w:val="Odstavecseseznamem"/>
        <w:ind w:left="0"/>
        <w:jc w:val="both"/>
      </w:pPr>
    </w:p>
    <w:p w14:paraId="3DCBB1CC" w14:textId="3C642737" w:rsidR="004462D3" w:rsidRDefault="004462D3" w:rsidP="00352E4A">
      <w:pPr>
        <w:pStyle w:val="Odstavecseseznamem"/>
        <w:spacing w:before="360" w:after="360"/>
        <w:ind w:left="357"/>
        <w:rPr>
          <w:b/>
          <w:bCs/>
          <w:u w:val="single"/>
        </w:rPr>
      </w:pPr>
    </w:p>
    <w:p w14:paraId="6B3629C3" w14:textId="77777777" w:rsidR="005146B6" w:rsidRDefault="005146B6" w:rsidP="005146B6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Rozsah stavby</w:t>
      </w:r>
    </w:p>
    <w:p w14:paraId="4A70BD38" w14:textId="06A4CFDD" w:rsidR="003B425D" w:rsidRPr="00170951" w:rsidRDefault="003B425D" w:rsidP="00104831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 w:rsidRPr="00170951">
        <w:t xml:space="preserve">Oprava </w:t>
      </w:r>
      <w:r w:rsidR="005146B6">
        <w:t>elektrických zařízení bude obsahovat tyto</w:t>
      </w:r>
      <w:r w:rsidRPr="00170951">
        <w:t xml:space="preserve"> stavební objekty (SO):</w:t>
      </w:r>
    </w:p>
    <w:p w14:paraId="6217EC93" w14:textId="488F2A8A" w:rsidR="00DA5252" w:rsidRPr="00170951" w:rsidRDefault="003B425D" w:rsidP="00104831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 w:rsidRPr="00170951">
        <w:t>-</w:t>
      </w:r>
      <w:r w:rsidR="00FF2395" w:rsidRPr="00170951">
        <w:t xml:space="preserve"> </w:t>
      </w:r>
      <w:r w:rsidR="009E5EA3">
        <w:t xml:space="preserve">SO01 </w:t>
      </w:r>
      <w:r w:rsidR="00177A83">
        <w:t xml:space="preserve"> </w:t>
      </w:r>
      <w:r w:rsidR="009E5EA3">
        <w:t xml:space="preserve">Oprava TV </w:t>
      </w:r>
      <w:r w:rsidR="00177A83">
        <w:t>v</w:t>
      </w:r>
      <w:r w:rsidR="009E5EA3" w:rsidRPr="009E5EA3">
        <w:t xml:space="preserve"> úseku Hrušky - Moravská Nová Ves</w:t>
      </w:r>
    </w:p>
    <w:p w14:paraId="4ADBBE6F" w14:textId="375FBD03" w:rsidR="00FF2395" w:rsidRPr="00170951" w:rsidRDefault="00FF2395" w:rsidP="00104831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 w:rsidRPr="00170951">
        <w:t xml:space="preserve">- </w:t>
      </w:r>
      <w:r w:rsidR="009E5EA3">
        <w:t xml:space="preserve">SO02 </w:t>
      </w:r>
      <w:r w:rsidR="00177A83">
        <w:t xml:space="preserve"> </w:t>
      </w:r>
      <w:r w:rsidR="009E5EA3" w:rsidRPr="009E5EA3">
        <w:t>Oprava TV v úseku Moravská Nová Ves - Lužice</w:t>
      </w:r>
      <w:r w:rsidR="009E5EA3" w:rsidRPr="009E5EA3" w:rsidDel="009E5EA3">
        <w:t xml:space="preserve"> </w:t>
      </w:r>
    </w:p>
    <w:p w14:paraId="6B258BE7" w14:textId="6EE2DD80" w:rsidR="00FF2395" w:rsidRPr="00170951" w:rsidRDefault="00FF2395" w:rsidP="00104831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 w:rsidRPr="00170951">
        <w:t xml:space="preserve">- </w:t>
      </w:r>
      <w:r w:rsidR="009E5EA3">
        <w:t xml:space="preserve">SO03 </w:t>
      </w:r>
      <w:r w:rsidR="00177A83">
        <w:t xml:space="preserve"> </w:t>
      </w:r>
      <w:r w:rsidR="009E5EA3" w:rsidRPr="009E5EA3">
        <w:t>Oprava TV v žst. Lužice</w:t>
      </w:r>
      <w:r w:rsidR="009E5EA3" w:rsidRPr="009E5EA3" w:rsidDel="009E5EA3">
        <w:t xml:space="preserve"> </w:t>
      </w:r>
    </w:p>
    <w:p w14:paraId="1A75061F" w14:textId="1058674C" w:rsidR="00FF2395" w:rsidRDefault="00FF2395" w:rsidP="00DD2880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 w:rsidRPr="00170951">
        <w:t xml:space="preserve">- </w:t>
      </w:r>
      <w:r w:rsidR="009E5EA3">
        <w:t xml:space="preserve">SO04 </w:t>
      </w:r>
      <w:r w:rsidR="00177A83">
        <w:t xml:space="preserve"> </w:t>
      </w:r>
      <w:r w:rsidR="009E5EA3" w:rsidRPr="009E5EA3">
        <w:t>Oprava TV v úseku Lužice - Hodonín</w:t>
      </w:r>
      <w:r w:rsidR="009E5EA3" w:rsidRPr="009E5EA3" w:rsidDel="009E5EA3">
        <w:t xml:space="preserve"> </w:t>
      </w:r>
    </w:p>
    <w:p w14:paraId="3558530C" w14:textId="2A7F8263" w:rsidR="00177A83" w:rsidRDefault="00177A83" w:rsidP="00177A83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 w:rsidRPr="00170951">
        <w:t xml:space="preserve">- </w:t>
      </w:r>
      <w:r>
        <w:t xml:space="preserve">SO05  </w:t>
      </w:r>
      <w:r w:rsidRPr="009E5EA3">
        <w:t>Oprava TV v úseku Hodonín</w:t>
      </w:r>
      <w:r w:rsidRPr="009E5EA3" w:rsidDel="009E5EA3">
        <w:t xml:space="preserve"> </w:t>
      </w:r>
      <w:r>
        <w:t>- Holíč</w:t>
      </w:r>
    </w:p>
    <w:p w14:paraId="167887A4" w14:textId="159F36EB" w:rsidR="00FF2395" w:rsidRPr="00170951" w:rsidRDefault="00177A83" w:rsidP="00352E4A">
      <w:pPr>
        <w:tabs>
          <w:tab w:val="left" w:pos="-1701"/>
        </w:tabs>
        <w:spacing w:before="100" w:beforeAutospacing="1" w:after="100" w:afterAutospacing="1" w:line="276" w:lineRule="auto"/>
        <w:ind w:left="993" w:hanging="993"/>
        <w:jc w:val="both"/>
      </w:pPr>
      <w:r w:rsidRPr="00170951">
        <w:t xml:space="preserve">- </w:t>
      </w:r>
      <w:r>
        <w:t>SO06</w:t>
      </w:r>
      <w:r w:rsidR="00662288">
        <w:t xml:space="preserve"> </w:t>
      </w:r>
      <w:r>
        <w:t xml:space="preserve"> </w:t>
      </w:r>
      <w:r w:rsidR="009E5EA3" w:rsidRPr="009E5EA3">
        <w:t>Oprava silnoproudého zařízení v žst. Lužice, Moravská Nová Ves, Hrušky</w:t>
      </w:r>
      <w:r>
        <w:t xml:space="preserve"> a v železniční zastávce Hrušky</w:t>
      </w:r>
    </w:p>
    <w:p w14:paraId="593FD6F5" w14:textId="77777777" w:rsidR="004462D3" w:rsidRPr="00E03EA8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E03EA8">
        <w:rPr>
          <w:b/>
          <w:bCs/>
          <w:u w:val="single"/>
        </w:rPr>
        <w:t>Technické řešení</w:t>
      </w:r>
    </w:p>
    <w:p w14:paraId="2424A0DC" w14:textId="466890FD" w:rsidR="00FF2395" w:rsidRPr="00170951" w:rsidRDefault="00FF2395" w:rsidP="00104831">
      <w:pPr>
        <w:tabs>
          <w:tab w:val="left" w:pos="-1985"/>
        </w:tabs>
        <w:spacing w:before="100" w:beforeAutospacing="1" w:after="100" w:afterAutospacing="1" w:line="276" w:lineRule="auto"/>
        <w:jc w:val="both"/>
      </w:pPr>
      <w:r w:rsidRPr="00170951">
        <w:t xml:space="preserve">V závislosti </w:t>
      </w:r>
      <w:r w:rsidR="009E5EA3">
        <w:t>k</w:t>
      </w:r>
      <w:r w:rsidRPr="00170951">
        <w:t xml:space="preserve"> </w:t>
      </w:r>
      <w:r w:rsidR="009E5EA3">
        <w:t xml:space="preserve">rozsahu škod bude zhotovena projektová dokumentace </w:t>
      </w:r>
      <w:r w:rsidR="00177A83">
        <w:t xml:space="preserve">pro realizaci stavby </w:t>
      </w:r>
      <w:r w:rsidR="009E5EA3">
        <w:t xml:space="preserve">a následně proběhne </w:t>
      </w:r>
      <w:r w:rsidRPr="00170951">
        <w:t>oprava</w:t>
      </w:r>
      <w:r w:rsidR="009E5EA3">
        <w:t xml:space="preserve"> jednotlivých </w:t>
      </w:r>
      <w:r w:rsidR="00177A83">
        <w:t xml:space="preserve">částí </w:t>
      </w:r>
      <w:r w:rsidR="009E5EA3">
        <w:t>trakční</w:t>
      </w:r>
      <w:r w:rsidR="00177A83">
        <w:t>ch</w:t>
      </w:r>
      <w:r w:rsidR="009E5EA3">
        <w:t xml:space="preserve"> a silnoproud</w:t>
      </w:r>
      <w:r w:rsidR="00177A83">
        <w:t>ýc</w:t>
      </w:r>
      <w:r w:rsidR="009E5EA3">
        <w:t>h zařízení dle příslušných stavebních objektů</w:t>
      </w:r>
      <w:r w:rsidRPr="00170951">
        <w:t xml:space="preserve">. Bude provedena </w:t>
      </w:r>
      <w:r w:rsidR="00464D84">
        <w:t xml:space="preserve">betonáž nových </w:t>
      </w:r>
      <w:r w:rsidR="00177A83">
        <w:t xml:space="preserve">základů a </w:t>
      </w:r>
      <w:r w:rsidR="00464D84">
        <w:t xml:space="preserve">patek, usazení </w:t>
      </w:r>
      <w:r w:rsidR="00177A83">
        <w:t xml:space="preserve">nových trakčních případně osvětlovacích </w:t>
      </w:r>
      <w:r w:rsidR="00464D84">
        <w:t xml:space="preserve">stožárů </w:t>
      </w:r>
      <w:r w:rsidR="00177A83">
        <w:t xml:space="preserve">a věží, osazení nové výstroje stožárů místo </w:t>
      </w:r>
      <w:r w:rsidR="00F27305">
        <w:t xml:space="preserve">výstroje </w:t>
      </w:r>
      <w:r w:rsidR="00177A83">
        <w:t xml:space="preserve">poškozené na nové i stávající stožáry, </w:t>
      </w:r>
      <w:r w:rsidR="00464D84">
        <w:t>natažení nového trakčního vedení v</w:t>
      </w:r>
      <w:r w:rsidR="00177A83">
        <w:t> dotčených úsecích, jeho regulace a uvedení do provozu</w:t>
      </w:r>
      <w:r w:rsidR="00464D84">
        <w:t>.</w:t>
      </w:r>
      <w:r w:rsidR="00177A83">
        <w:t xml:space="preserve"> V případě osvětlení budou zpracovány protokoly osvětlení a instalována budou svítidla s technologií LED</w:t>
      </w:r>
      <w:r w:rsidR="00F27305">
        <w:t>. Silnoproudá zařízení budou napojena na stávající rozvody SŽ.</w:t>
      </w:r>
      <w:r w:rsidR="00E83209">
        <w:t xml:space="preserve"> Stavba </w:t>
      </w:r>
      <w:r w:rsidR="00464D84">
        <w:t>bude zahrnovat i demontáž poškozených celků, jejic</w:t>
      </w:r>
      <w:r w:rsidR="00F27305">
        <w:t>h výzisk a případnou likvidaci.</w:t>
      </w:r>
    </w:p>
    <w:p w14:paraId="2C3BCE0F" w14:textId="3F768BC9" w:rsidR="00AD7991" w:rsidRPr="00170951" w:rsidRDefault="00AD7991" w:rsidP="00104831">
      <w:pPr>
        <w:tabs>
          <w:tab w:val="left" w:pos="-1985"/>
        </w:tabs>
        <w:spacing w:before="100" w:beforeAutospacing="1" w:after="100" w:afterAutospacing="1" w:line="276" w:lineRule="auto"/>
        <w:jc w:val="both"/>
      </w:pPr>
      <w:r w:rsidRPr="00170951">
        <w:t xml:space="preserve">Akce je navržena za účelem </w:t>
      </w:r>
      <w:r w:rsidR="00464D84">
        <w:t>obnovení elektrického</w:t>
      </w:r>
      <w:r w:rsidRPr="00170951">
        <w:t xml:space="preserve"> provozu na </w:t>
      </w:r>
      <w:r w:rsidR="00F27305">
        <w:t xml:space="preserve">úseku </w:t>
      </w:r>
      <w:r w:rsidRPr="00170951">
        <w:t>trati</w:t>
      </w:r>
      <w:r w:rsidR="00F27305">
        <w:t xml:space="preserve"> Hodonín – Břeclav po přírodní katastrofě ze dne 24. 6. 2021</w:t>
      </w:r>
      <w:r w:rsidR="005A577E" w:rsidRPr="00170951">
        <w:t>.</w:t>
      </w:r>
    </w:p>
    <w:p w14:paraId="0D5CE524" w14:textId="7207501A" w:rsidR="00C84F4E" w:rsidRPr="002D0CDF" w:rsidRDefault="00C84F4E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2D0CDF">
        <w:rPr>
          <w:b/>
          <w:bCs/>
          <w:u w:val="single"/>
        </w:rPr>
        <w:t>Termín realizace</w:t>
      </w:r>
    </w:p>
    <w:p w14:paraId="3FCF3D14" w14:textId="348F23A3" w:rsidR="009535E0" w:rsidRPr="00170951" w:rsidRDefault="00FF2395" w:rsidP="00104831">
      <w:pPr>
        <w:tabs>
          <w:tab w:val="left" w:pos="-1843"/>
        </w:tabs>
        <w:spacing w:before="100" w:beforeAutospacing="1" w:after="100" w:afterAutospacing="1" w:line="276" w:lineRule="auto"/>
        <w:jc w:val="both"/>
      </w:pPr>
      <w:r w:rsidRPr="00170951">
        <w:t>Předpokládaný termín realizace:</w:t>
      </w:r>
      <w:r w:rsidR="00666076" w:rsidRPr="00170951">
        <w:t xml:space="preserve"> </w:t>
      </w:r>
      <w:r w:rsidR="009E5EA3">
        <w:t>0</w:t>
      </w:r>
      <w:r w:rsidR="00177A83">
        <w:t>8</w:t>
      </w:r>
      <w:r w:rsidRPr="00170951">
        <w:t>.</w:t>
      </w:r>
      <w:r w:rsidR="00FF2933" w:rsidRPr="00170951">
        <w:t xml:space="preserve"> </w:t>
      </w:r>
      <w:r w:rsidRPr="00170951">
        <w:t>202</w:t>
      </w:r>
      <w:r w:rsidR="009E5EA3">
        <w:t>1</w:t>
      </w:r>
      <w:r w:rsidRPr="00170951">
        <w:t xml:space="preserve"> </w:t>
      </w:r>
      <w:r w:rsidR="009E5EA3">
        <w:t>-</w:t>
      </w:r>
      <w:r w:rsidRPr="00170951">
        <w:t xml:space="preserve"> </w:t>
      </w:r>
      <w:r w:rsidR="009E5EA3">
        <w:t>0</w:t>
      </w:r>
      <w:r w:rsidR="00177A83">
        <w:t>7</w:t>
      </w:r>
      <w:r w:rsidRPr="00170951">
        <w:t>. 202</w:t>
      </w:r>
      <w:r w:rsidR="00177A83">
        <w:t>2</w:t>
      </w:r>
    </w:p>
    <w:p w14:paraId="0C6703CB" w14:textId="77777777" w:rsidR="004462D3" w:rsidRPr="0001235F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C1160A">
        <w:rPr>
          <w:b/>
          <w:bCs/>
          <w:u w:val="single"/>
        </w:rPr>
        <w:t>Shrnutí dopadů projektu</w:t>
      </w:r>
    </w:p>
    <w:p w14:paraId="67094488" w14:textId="77777777" w:rsidR="004462D3" w:rsidRPr="004462D3" w:rsidRDefault="004462D3" w:rsidP="004462D3">
      <w:pPr>
        <w:tabs>
          <w:tab w:val="num" w:pos="360"/>
        </w:tabs>
        <w:spacing w:after="120"/>
        <w:ind w:left="142"/>
        <w:jc w:val="both"/>
        <w:rPr>
          <w:u w:val="single"/>
        </w:rPr>
      </w:pPr>
      <w:r w:rsidRPr="004462D3">
        <w:rPr>
          <w:u w:val="single"/>
        </w:rPr>
        <w:t>Bez projektu</w:t>
      </w:r>
    </w:p>
    <w:p w14:paraId="5CBCB4B8" w14:textId="069AE9FF" w:rsidR="00AC70DD" w:rsidRDefault="00464D84" w:rsidP="00104831">
      <w:pPr>
        <w:tabs>
          <w:tab w:val="left" w:pos="-1843"/>
        </w:tabs>
        <w:spacing w:before="100" w:beforeAutospacing="1" w:after="100" w:afterAutospacing="1" w:line="276" w:lineRule="auto"/>
        <w:jc w:val="both"/>
      </w:pPr>
      <w:r>
        <w:t xml:space="preserve">Rozsah poškození elektrických zařízení po živelné katastrofě neumožňuje </w:t>
      </w:r>
      <w:r w:rsidR="00AC70DD">
        <w:t xml:space="preserve">v úseku Hodonín - Břeclav </w:t>
      </w:r>
      <w:r>
        <w:t xml:space="preserve">provozování </w:t>
      </w:r>
      <w:r w:rsidR="00AC70DD">
        <w:t xml:space="preserve">drážní </w:t>
      </w:r>
      <w:r>
        <w:t>dopravy v elektrické trakci</w:t>
      </w:r>
      <w:r w:rsidR="00AC70DD">
        <w:t xml:space="preserve"> v obou traťových kolejích</w:t>
      </w:r>
      <w:r>
        <w:t xml:space="preserve">. Trakční zařízení byla do značné míry poškozena </w:t>
      </w:r>
      <w:r w:rsidR="00AC70DD">
        <w:t>a je nutná jejich rozsáhlá obnova.</w:t>
      </w:r>
    </w:p>
    <w:p w14:paraId="699701AD" w14:textId="23ABE5F4" w:rsidR="00BA7FDA" w:rsidRPr="00170951" w:rsidRDefault="00AC70DD" w:rsidP="00104831">
      <w:pPr>
        <w:tabs>
          <w:tab w:val="left" w:pos="-1843"/>
        </w:tabs>
        <w:spacing w:before="100" w:beforeAutospacing="1" w:after="100" w:afterAutospacing="1" w:line="276" w:lineRule="auto"/>
        <w:jc w:val="both"/>
      </w:pPr>
      <w:r>
        <w:lastRenderedPageBreak/>
        <w:t>V menším rozsahu byla poškozena i část silnoproudých zařízení, zejména poškozené osvětlovací věže</w:t>
      </w:r>
      <w:r w:rsidR="00E83209">
        <w:t xml:space="preserve">, </w:t>
      </w:r>
      <w:r>
        <w:t xml:space="preserve">stožáry </w:t>
      </w:r>
      <w:r w:rsidR="00E83209">
        <w:t xml:space="preserve">a venkovní svítidla </w:t>
      </w:r>
      <w:r>
        <w:t>je nutno demontovat a nahradit novými. Následně budou silnoproudá zařízení napojena do stávajícího rozvodu.</w:t>
      </w:r>
      <w:r w:rsidR="00464D84">
        <w:t xml:space="preserve">  </w:t>
      </w:r>
    </w:p>
    <w:p w14:paraId="612835BE" w14:textId="77777777" w:rsidR="004462D3" w:rsidRDefault="004462D3" w:rsidP="00944784">
      <w:pPr>
        <w:tabs>
          <w:tab w:val="num" w:pos="360"/>
        </w:tabs>
        <w:spacing w:after="120"/>
        <w:ind w:left="142"/>
        <w:jc w:val="both"/>
        <w:rPr>
          <w:u w:val="single"/>
        </w:rPr>
      </w:pPr>
      <w:r w:rsidRPr="004462D3">
        <w:rPr>
          <w:u w:val="single"/>
        </w:rPr>
        <w:t>S</w:t>
      </w:r>
      <w:r w:rsidR="006F0549">
        <w:rPr>
          <w:u w:val="single"/>
        </w:rPr>
        <w:t> </w:t>
      </w:r>
      <w:r w:rsidRPr="004462D3">
        <w:rPr>
          <w:u w:val="single"/>
        </w:rPr>
        <w:t>projektem</w:t>
      </w:r>
    </w:p>
    <w:p w14:paraId="5EA2A971" w14:textId="68526BAE" w:rsidR="006F0549" w:rsidRPr="00170951" w:rsidRDefault="00FF2395" w:rsidP="00352E4A">
      <w:pPr>
        <w:tabs>
          <w:tab w:val="left" w:pos="567"/>
        </w:tabs>
        <w:spacing w:line="276" w:lineRule="auto"/>
        <w:jc w:val="both"/>
      </w:pPr>
      <w:r w:rsidRPr="00170951">
        <w:t xml:space="preserve">Provedením opravy </w:t>
      </w:r>
      <w:r w:rsidR="00AC70DD">
        <w:t>poškozených celků dojde na trati Přerov – Břeclav k obnově plnohodnotného drážního provozu v elektrické trakci v obou traťových kolejích. Zároveň budou uvedeny do normového stavu silnoproudé rozvody a osvětlení dotčených stanic a zastávek</w:t>
      </w:r>
      <w:r w:rsidR="00E83209">
        <w:t xml:space="preserve"> pro potřeby provozu i cestujících</w:t>
      </w:r>
      <w:r w:rsidR="00AC70DD">
        <w:t>.</w:t>
      </w:r>
    </w:p>
    <w:p w14:paraId="214B31B7" w14:textId="7B8F486D" w:rsidR="00944784" w:rsidRPr="00DA5252" w:rsidRDefault="00DA5252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DA5252">
        <w:rPr>
          <w:b/>
          <w:bCs/>
          <w:u w:val="single"/>
        </w:rPr>
        <w:t>Náklady stavby</w:t>
      </w:r>
    </w:p>
    <w:tbl>
      <w:tblPr>
        <w:tblW w:w="3036" w:type="pct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2750"/>
        <w:gridCol w:w="2146"/>
      </w:tblGrid>
      <w:tr w:rsidR="00FE5CCB" w14:paraId="6700354F" w14:textId="77777777" w:rsidTr="00FE5CCB">
        <w:trPr>
          <w:cantSplit/>
          <w:jc w:val="center"/>
        </w:trPr>
        <w:tc>
          <w:tcPr>
            <w:tcW w:w="53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5" w:color="auto" w:fill="auto"/>
          </w:tcPr>
          <w:p w14:paraId="5CBEEEE7" w14:textId="77777777" w:rsidR="00FE5CCB" w:rsidRDefault="00FE5CCB" w:rsidP="00AF203B">
            <w:pPr>
              <w:tabs>
                <w:tab w:val="left" w:pos="340"/>
                <w:tab w:val="left" w:pos="567"/>
              </w:tabs>
              <w:rPr>
                <w:sz w:val="20"/>
              </w:rPr>
            </w:pPr>
          </w:p>
        </w:tc>
        <w:tc>
          <w:tcPr>
            <w:tcW w:w="250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5" w:color="auto" w:fill="auto"/>
          </w:tcPr>
          <w:p w14:paraId="23E00151" w14:textId="77777777" w:rsidR="00FE5CCB" w:rsidRDefault="00FE5CCB" w:rsidP="00AF203B">
            <w:pPr>
              <w:tabs>
                <w:tab w:val="left" w:pos="340"/>
                <w:tab w:val="left" w:pos="567"/>
              </w:tabs>
            </w:pPr>
            <w:r>
              <w:rPr>
                <w:b/>
                <w:sz w:val="20"/>
              </w:rPr>
              <w:t>V tis. CZK</w:t>
            </w:r>
          </w:p>
        </w:tc>
        <w:tc>
          <w:tcPr>
            <w:tcW w:w="1958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639F3B64" w14:textId="77777777" w:rsidR="00FE5CCB" w:rsidRDefault="00FE5CCB" w:rsidP="00AF203B">
            <w:pPr>
              <w:tabs>
                <w:tab w:val="left" w:pos="340"/>
                <w:tab w:val="left" w:pos="567"/>
              </w:tabs>
              <w:jc w:val="center"/>
              <w:rPr>
                <w:b/>
                <w:smallCaps/>
                <w:sz w:val="20"/>
              </w:rPr>
            </w:pPr>
            <w:r>
              <w:rPr>
                <w:b/>
                <w:smallCaps/>
                <w:sz w:val="20"/>
              </w:rPr>
              <w:t>Celkové náklady projektu</w:t>
            </w:r>
          </w:p>
          <w:p w14:paraId="6EB669A8" w14:textId="77777777" w:rsidR="00FE5CCB" w:rsidRDefault="00FE5CCB" w:rsidP="00AF203B">
            <w:pPr>
              <w:tabs>
                <w:tab w:val="left" w:pos="340"/>
                <w:tab w:val="left" w:pos="567"/>
              </w:tabs>
              <w:jc w:val="center"/>
            </w:pPr>
          </w:p>
        </w:tc>
      </w:tr>
      <w:tr w:rsidR="00FE5CCB" w14:paraId="62F52973" w14:textId="77777777" w:rsidTr="00FE5CCB">
        <w:trPr>
          <w:cantSplit/>
          <w:jc w:val="center"/>
        </w:trPr>
        <w:tc>
          <w:tcPr>
            <w:tcW w:w="533" w:type="pct"/>
            <w:tcBorders>
              <w:left w:val="double" w:sz="6" w:space="0" w:color="auto"/>
              <w:bottom w:val="single" w:sz="6" w:space="0" w:color="auto"/>
            </w:tcBorders>
          </w:tcPr>
          <w:p w14:paraId="0E0A0B78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1</w:t>
            </w:r>
          </w:p>
        </w:tc>
        <w:tc>
          <w:tcPr>
            <w:tcW w:w="2509" w:type="pct"/>
            <w:tcBorders>
              <w:left w:val="double" w:sz="6" w:space="0" w:color="auto"/>
              <w:bottom w:val="single" w:sz="6" w:space="0" w:color="auto"/>
            </w:tcBorders>
          </w:tcPr>
          <w:p w14:paraId="3266A00F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Poplatky za plány / stavební projekt</w:t>
            </w:r>
          </w:p>
        </w:tc>
        <w:tc>
          <w:tcPr>
            <w:tcW w:w="1958" w:type="pct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6173266" w14:textId="1959A049" w:rsidR="00FE5CCB" w:rsidRDefault="00E83209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6 000</w:t>
            </w:r>
          </w:p>
        </w:tc>
      </w:tr>
      <w:tr w:rsidR="00FE5CCB" w14:paraId="647A4B1E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2441C08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2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39F45764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Nákup pozemků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DC97429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FE5CCB" w14:paraId="1CC2627B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2A0B269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3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9E9514B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Výstavba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6E07A57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FE5CCB" w14:paraId="653C6B88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848BA5C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4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92245AC" w14:textId="77777777" w:rsidR="00FE5CCB" w:rsidRDefault="00FE5CCB" w:rsidP="00AF203B">
            <w:pPr>
              <w:tabs>
                <w:tab w:val="left" w:pos="567"/>
              </w:tabs>
              <w:spacing w:before="20" w:after="20"/>
            </w:pPr>
            <w:r>
              <w:t>Technologie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2D7A0B1" w14:textId="2B0F84DE" w:rsidR="00FE5CCB" w:rsidRDefault="009E5EA3" w:rsidP="00E83209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20</w:t>
            </w:r>
            <w:r w:rsidR="00E83209">
              <w:rPr>
                <w:b/>
                <w:sz w:val="26"/>
              </w:rPr>
              <w:t>3</w:t>
            </w:r>
            <w:r>
              <w:rPr>
                <w:b/>
                <w:sz w:val="26"/>
              </w:rPr>
              <w:t xml:space="preserve"> </w:t>
            </w:r>
            <w:r w:rsidR="00566E3D">
              <w:rPr>
                <w:b/>
                <w:sz w:val="26"/>
              </w:rPr>
              <w:t>000</w:t>
            </w:r>
          </w:p>
        </w:tc>
      </w:tr>
      <w:tr w:rsidR="00FE5CCB" w14:paraId="76000D9D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59F63A50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5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5627FD35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Nepředvídatelné události</w:t>
            </w:r>
            <w:r w:rsidRPr="0081631A">
              <w:rPr>
                <w:vertAlign w:val="superscript"/>
              </w:rPr>
              <w:t>(1)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729B48B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FE5CCB" w14:paraId="50382A6C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7B17270F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6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242615C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Příp. úprava ceny</w:t>
            </w:r>
            <w:r w:rsidRPr="0081631A">
              <w:rPr>
                <w:vertAlign w:val="superscript"/>
              </w:rPr>
              <w:t>(2)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079DEA74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4213524F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15C0599D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7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0F3A907D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Technická pomoc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54C5C494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70423E1E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7A4973CB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8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6EEC1D71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Propagace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73326B10" w14:textId="77777777" w:rsidR="00FE5CCB" w:rsidRPr="0081631A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FE5CCB" w14:paraId="0278971D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38560819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9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57818305" w14:textId="77777777" w:rsidR="00FE5CCB" w:rsidRPr="0081631A" w:rsidRDefault="00FE5CCB" w:rsidP="00AF203B">
            <w:pPr>
              <w:tabs>
                <w:tab w:val="left" w:pos="567"/>
              </w:tabs>
              <w:spacing w:before="20" w:after="20"/>
            </w:pPr>
            <w:r w:rsidRPr="0081631A">
              <w:t>Dozor v průběhu výstavby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1E8C2BCA" w14:textId="5389E17F" w:rsidR="00FE5CCB" w:rsidRPr="0081631A" w:rsidRDefault="00E83209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  <w:r>
              <w:rPr>
                <w:b/>
                <w:sz w:val="26"/>
              </w:rPr>
              <w:t>1 000</w:t>
            </w:r>
          </w:p>
        </w:tc>
      </w:tr>
      <w:tr w:rsidR="00FE5CCB" w14:paraId="748BDBE9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749E5E3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10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90511B5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rPr>
                <w:b/>
              </w:rPr>
              <w:t>Mezisoučet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28507DF" w14:textId="6652D600" w:rsidR="00FE5CCB" w:rsidRDefault="009E5EA3" w:rsidP="00051A62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210 </w:t>
            </w:r>
            <w:r w:rsidR="00566E3D">
              <w:rPr>
                <w:b/>
                <w:sz w:val="26"/>
              </w:rPr>
              <w:t>000</w:t>
            </w:r>
          </w:p>
        </w:tc>
      </w:tr>
      <w:tr w:rsidR="00FE5CCB" w14:paraId="78C791F8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</w:tcBorders>
          </w:tcPr>
          <w:p w14:paraId="34807B0C" w14:textId="77777777" w:rsidR="00FE5CCB" w:rsidRDefault="00FE5CCB" w:rsidP="009535E0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11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</w:tcBorders>
          </w:tcPr>
          <w:p w14:paraId="3FFD4983" w14:textId="77777777" w:rsidR="00FE5CCB" w:rsidRDefault="00FE5CCB" w:rsidP="009535E0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DPH</w:t>
            </w:r>
            <w:r w:rsidRPr="009535E0">
              <w:rPr>
                <w:vertAlign w:val="superscript"/>
              </w:rPr>
              <w:t>(3)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72F9EB5F" w14:textId="01FBAEED" w:rsidR="00FE5CCB" w:rsidRPr="009535E0" w:rsidRDefault="009E5EA3">
            <w:pPr>
              <w:tabs>
                <w:tab w:val="left" w:pos="340"/>
                <w:tab w:val="left" w:pos="567"/>
              </w:tabs>
              <w:spacing w:before="20" w:after="20"/>
              <w:jc w:val="center"/>
            </w:pPr>
            <w:r>
              <w:t>44 1</w:t>
            </w:r>
            <w:r w:rsidR="00051A62">
              <w:t xml:space="preserve">00 </w:t>
            </w:r>
          </w:p>
        </w:tc>
      </w:tr>
      <w:tr w:rsidR="00FE5CCB" w14:paraId="19366C3A" w14:textId="77777777" w:rsidTr="00170951">
        <w:trPr>
          <w:cantSplit/>
          <w:trHeight w:val="533"/>
          <w:jc w:val="center"/>
        </w:trPr>
        <w:tc>
          <w:tcPr>
            <w:tcW w:w="533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pct5" w:color="auto" w:fill="auto"/>
          </w:tcPr>
          <w:p w14:paraId="1B37DE0B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t>12</w:t>
            </w:r>
          </w:p>
        </w:tc>
        <w:tc>
          <w:tcPr>
            <w:tcW w:w="2509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pct5" w:color="auto" w:fill="auto"/>
          </w:tcPr>
          <w:p w14:paraId="494E04B7" w14:textId="77777777" w:rsidR="00FE5CCB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>
              <w:rPr>
                <w:b/>
              </w:rPr>
              <w:t>CELKEM</w:t>
            </w:r>
            <w:r>
              <w:rPr>
                <w:vertAlign w:val="superscript"/>
              </w:rPr>
              <w:t>(4)</w:t>
            </w:r>
            <w:r>
              <w:rPr>
                <w:b/>
              </w:rPr>
              <w:t xml:space="preserve"> </w:t>
            </w:r>
          </w:p>
        </w:tc>
        <w:tc>
          <w:tcPr>
            <w:tcW w:w="1958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pct5" w:color="auto" w:fill="auto"/>
          </w:tcPr>
          <w:p w14:paraId="5117CD93" w14:textId="48490E88" w:rsidR="00FF5575" w:rsidRPr="000F29C9" w:rsidRDefault="009E5EA3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  <w:u w:val="single"/>
                <w:vertAlign w:val="superscript"/>
              </w:rPr>
            </w:pPr>
            <w:r>
              <w:rPr>
                <w:b/>
                <w:sz w:val="26"/>
                <w:u w:val="single"/>
              </w:rPr>
              <w:t>254</w:t>
            </w:r>
            <w:r w:rsidRPr="00170951">
              <w:rPr>
                <w:b/>
                <w:sz w:val="26"/>
                <w:u w:val="single"/>
              </w:rPr>
              <w:t xml:space="preserve"> </w:t>
            </w:r>
            <w:r>
              <w:rPr>
                <w:b/>
                <w:sz w:val="26"/>
                <w:u w:val="single"/>
              </w:rPr>
              <w:t>1</w:t>
            </w:r>
            <w:r w:rsidR="000F29C9" w:rsidRPr="00170951">
              <w:rPr>
                <w:b/>
                <w:sz w:val="26"/>
                <w:u w:val="single"/>
              </w:rPr>
              <w:t>00</w:t>
            </w:r>
          </w:p>
        </w:tc>
      </w:tr>
    </w:tbl>
    <w:p w14:paraId="57E2AF28" w14:textId="77777777" w:rsidR="00DA5252" w:rsidRDefault="00DA5252" w:rsidP="004462D3">
      <w:pPr>
        <w:ind w:left="142"/>
      </w:pP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877"/>
      </w:tblGrid>
      <w:tr w:rsidR="00FE5CCB" w14:paraId="12F5C1F4" w14:textId="77777777" w:rsidTr="00AF203B">
        <w:trPr>
          <w:cantSplit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5" w:color="auto" w:fill="auto"/>
          </w:tcPr>
          <w:p w14:paraId="2E667350" w14:textId="77777777" w:rsidR="00FE5CCB" w:rsidRDefault="00FE5CCB" w:rsidP="00170951">
            <w:pPr>
              <w:pStyle w:val="Point0"/>
              <w:spacing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1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 xml:space="preserve">Rezervy pro nepředvídatelné události </w:t>
            </w:r>
            <w:r>
              <w:rPr>
                <w:sz w:val="18"/>
              </w:rPr>
              <w:t>nesmí</w:t>
            </w:r>
            <w:r w:rsidRPr="00A946E2">
              <w:rPr>
                <w:sz w:val="18"/>
              </w:rPr>
              <w:t xml:space="preserve"> překročit 10 % celkových </w:t>
            </w:r>
            <w:r w:rsidR="006302D8">
              <w:rPr>
                <w:sz w:val="18"/>
              </w:rPr>
              <w:t>ne</w:t>
            </w:r>
            <w:r w:rsidRPr="00A946E2">
              <w:rPr>
                <w:sz w:val="18"/>
              </w:rPr>
              <w:t xml:space="preserve">investičních nákladů bez rezerv pro nepředvídatelné události. </w:t>
            </w:r>
          </w:p>
          <w:p w14:paraId="2B629F7A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2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>Úpravu ceny lze případně zahrnout, aby se pokryla očekávaná inflace, jsou-li náklady uvedeny ve stálých cenách.</w:t>
            </w:r>
          </w:p>
          <w:p w14:paraId="018CD5E1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3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</w:r>
            <w:r>
              <w:rPr>
                <w:sz w:val="18"/>
              </w:rPr>
              <w:t>Pouze j</w:t>
            </w:r>
            <w:r w:rsidRPr="00A946E2">
              <w:rPr>
                <w:sz w:val="18"/>
              </w:rPr>
              <w:t xml:space="preserve">e-li DPH </w:t>
            </w:r>
            <w:r>
              <w:rPr>
                <w:sz w:val="18"/>
              </w:rPr>
              <w:t>nerefundovatelná</w:t>
            </w:r>
          </w:p>
        </w:tc>
      </w:tr>
      <w:tr w:rsidR="00FE5CCB" w14:paraId="1CF0DF8A" w14:textId="77777777" w:rsidTr="00170951">
        <w:trPr>
          <w:cantSplit/>
          <w:trHeight w:val="493"/>
        </w:trPr>
        <w:tc>
          <w:tcPr>
            <w:tcW w:w="5000" w:type="pct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791E5D5E" w14:textId="77777777" w:rsidR="00FE5CCB" w:rsidRPr="00A946E2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>
              <w:rPr>
                <w:sz w:val="18"/>
              </w:rPr>
              <w:t>4</w:t>
            </w:r>
            <w:r w:rsidRPr="00A946E2">
              <w:rPr>
                <w:sz w:val="18"/>
              </w:rPr>
              <w:t>)</w:t>
            </w:r>
            <w:r w:rsidRPr="00A946E2">
              <w:rPr>
                <w:sz w:val="18"/>
              </w:rPr>
              <w:tab/>
              <w:t>Celkové náklady musí zahrnovat veškeré náklady vynaložené na projekt, od plánování po dozor, a musí zahrnovat DPH</w:t>
            </w:r>
            <w:r>
              <w:rPr>
                <w:sz w:val="18"/>
              </w:rPr>
              <w:t>, pokud je nerefundovatelná</w:t>
            </w:r>
          </w:p>
        </w:tc>
      </w:tr>
    </w:tbl>
    <w:p w14:paraId="5FBC8114" w14:textId="77777777" w:rsidR="00DA5252" w:rsidRDefault="00DA5252" w:rsidP="004462D3">
      <w:pPr>
        <w:ind w:left="142"/>
      </w:pPr>
    </w:p>
    <w:p w14:paraId="5660B67A" w14:textId="77777777" w:rsidR="000F29C9" w:rsidRDefault="000F29C9" w:rsidP="004462D3">
      <w:pPr>
        <w:tabs>
          <w:tab w:val="left" w:pos="1134"/>
        </w:tabs>
        <w:spacing w:line="276" w:lineRule="auto"/>
        <w:ind w:left="1134" w:hanging="1134"/>
        <w:jc w:val="both"/>
      </w:pPr>
    </w:p>
    <w:p w14:paraId="5DB0D533" w14:textId="4F75CBD1" w:rsidR="004462D3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  <w:r>
        <w:t>Z</w:t>
      </w:r>
      <w:r w:rsidRPr="00C1160A">
        <w:t>pracoval, dne:</w:t>
      </w:r>
      <w:r w:rsidR="00FF5575">
        <w:t xml:space="preserve">  Ing.</w:t>
      </w:r>
      <w:r w:rsidR="009E5EA3">
        <w:t xml:space="preserve"> </w:t>
      </w:r>
      <w:r w:rsidR="00352E4A">
        <w:t>Jaroslav Pospíšek</w:t>
      </w:r>
      <w:r w:rsidR="00E83209">
        <w:t xml:space="preserve"> - VO</w:t>
      </w:r>
      <w:r w:rsidR="00FF5575">
        <w:t xml:space="preserve"> </w:t>
      </w:r>
      <w:r w:rsidR="009E5EA3">
        <w:t>SEE Brno</w:t>
      </w:r>
      <w:r w:rsidR="00FF5575">
        <w:t xml:space="preserve">, </w:t>
      </w:r>
      <w:r w:rsidR="00352E4A">
        <w:t>14</w:t>
      </w:r>
      <w:r w:rsidR="00FF5575">
        <w:t>.</w:t>
      </w:r>
      <w:r w:rsidR="00352E4A">
        <w:t xml:space="preserve"> </w:t>
      </w:r>
      <w:r w:rsidR="009E5EA3">
        <w:t>7</w:t>
      </w:r>
      <w:r w:rsidR="00FF5575">
        <w:t>.</w:t>
      </w:r>
      <w:r w:rsidR="00352E4A">
        <w:t xml:space="preserve"> </w:t>
      </w:r>
      <w:r w:rsidR="00FF5575">
        <w:t>202</w:t>
      </w:r>
      <w:r w:rsidR="009E5EA3">
        <w:t>1</w:t>
      </w:r>
      <w:r w:rsidR="0094478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5501FB4" w14:textId="77777777" w:rsidR="004462D3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</w:p>
    <w:p w14:paraId="6DDCE646" w14:textId="77777777" w:rsidR="004462D3" w:rsidRDefault="004462D3" w:rsidP="00BA7FDA">
      <w:pPr>
        <w:tabs>
          <w:tab w:val="left" w:pos="1134"/>
        </w:tabs>
        <w:spacing w:line="276" w:lineRule="auto"/>
        <w:ind w:left="1134" w:hanging="1134"/>
        <w:jc w:val="both"/>
      </w:pPr>
      <w:r w:rsidRPr="00C1160A">
        <w:t>Schválil, dne:</w:t>
      </w:r>
      <w:r w:rsidR="00944784">
        <w:tab/>
      </w:r>
      <w:r w:rsidR="0094478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1160A">
        <w:t xml:space="preserve"> </w:t>
      </w:r>
    </w:p>
    <w:sectPr w:rsidR="00446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80DF9" w14:textId="77777777" w:rsidR="005E5E48" w:rsidRDefault="005E5E48" w:rsidP="006B77EF">
      <w:r>
        <w:separator/>
      </w:r>
    </w:p>
  </w:endnote>
  <w:endnote w:type="continuationSeparator" w:id="0">
    <w:p w14:paraId="21F40668" w14:textId="77777777" w:rsidR="005E5E48" w:rsidRDefault="005E5E48" w:rsidP="006B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62634" w14:textId="77777777" w:rsidR="005E5E48" w:rsidRDefault="005E5E48" w:rsidP="006B77EF">
      <w:r>
        <w:separator/>
      </w:r>
    </w:p>
  </w:footnote>
  <w:footnote w:type="continuationSeparator" w:id="0">
    <w:p w14:paraId="4D5E181C" w14:textId="77777777" w:rsidR="005E5E48" w:rsidRDefault="005E5E48" w:rsidP="006B7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AB4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60485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B61D4C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4472"/>
        </w:tabs>
        <w:ind w:left="447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257270"/>
    <w:multiLevelType w:val="hybridMultilevel"/>
    <w:tmpl w:val="CC36E20C"/>
    <w:lvl w:ilvl="0" w:tplc="5002C84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FA0733F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C3"/>
    <w:rsid w:val="00002FB3"/>
    <w:rsid w:val="00004679"/>
    <w:rsid w:val="00005E47"/>
    <w:rsid w:val="00010187"/>
    <w:rsid w:val="00011681"/>
    <w:rsid w:val="00014507"/>
    <w:rsid w:val="00050CE1"/>
    <w:rsid w:val="00051A62"/>
    <w:rsid w:val="00054DAF"/>
    <w:rsid w:val="000576B9"/>
    <w:rsid w:val="000A41D0"/>
    <w:rsid w:val="000C127E"/>
    <w:rsid w:val="000C2FA4"/>
    <w:rsid w:val="000D082A"/>
    <w:rsid w:val="000F0EB9"/>
    <w:rsid w:val="000F29C9"/>
    <w:rsid w:val="000F6D4F"/>
    <w:rsid w:val="00104831"/>
    <w:rsid w:val="001216EF"/>
    <w:rsid w:val="00127826"/>
    <w:rsid w:val="00170951"/>
    <w:rsid w:val="00172DD4"/>
    <w:rsid w:val="00177A83"/>
    <w:rsid w:val="00180B9C"/>
    <w:rsid w:val="00193CBE"/>
    <w:rsid w:val="00196D72"/>
    <w:rsid w:val="001B311A"/>
    <w:rsid w:val="001B5C80"/>
    <w:rsid w:val="001E5711"/>
    <w:rsid w:val="00254569"/>
    <w:rsid w:val="002653C3"/>
    <w:rsid w:val="00271DC6"/>
    <w:rsid w:val="0028178A"/>
    <w:rsid w:val="00294D4E"/>
    <w:rsid w:val="002A3FC5"/>
    <w:rsid w:val="002D0CDF"/>
    <w:rsid w:val="002D4ABE"/>
    <w:rsid w:val="002E147E"/>
    <w:rsid w:val="002F3DC3"/>
    <w:rsid w:val="00316316"/>
    <w:rsid w:val="00332455"/>
    <w:rsid w:val="00345493"/>
    <w:rsid w:val="00352E4A"/>
    <w:rsid w:val="003727EC"/>
    <w:rsid w:val="00372D57"/>
    <w:rsid w:val="003A571E"/>
    <w:rsid w:val="003B425D"/>
    <w:rsid w:val="004404CF"/>
    <w:rsid w:val="004462D3"/>
    <w:rsid w:val="00464D84"/>
    <w:rsid w:val="00476D9E"/>
    <w:rsid w:val="00491A20"/>
    <w:rsid w:val="004F1632"/>
    <w:rsid w:val="005146B6"/>
    <w:rsid w:val="0056019A"/>
    <w:rsid w:val="00566E3D"/>
    <w:rsid w:val="00587048"/>
    <w:rsid w:val="005A2EB7"/>
    <w:rsid w:val="005A577E"/>
    <w:rsid w:val="005C0669"/>
    <w:rsid w:val="005E4111"/>
    <w:rsid w:val="005E5E48"/>
    <w:rsid w:val="006302D8"/>
    <w:rsid w:val="0065365F"/>
    <w:rsid w:val="00662288"/>
    <w:rsid w:val="00666076"/>
    <w:rsid w:val="00687644"/>
    <w:rsid w:val="006B77EF"/>
    <w:rsid w:val="006F0549"/>
    <w:rsid w:val="00730498"/>
    <w:rsid w:val="00766077"/>
    <w:rsid w:val="007B2BCD"/>
    <w:rsid w:val="00801A86"/>
    <w:rsid w:val="008360A6"/>
    <w:rsid w:val="00842E77"/>
    <w:rsid w:val="00870E19"/>
    <w:rsid w:val="008C3A96"/>
    <w:rsid w:val="00911103"/>
    <w:rsid w:val="009135B5"/>
    <w:rsid w:val="00944784"/>
    <w:rsid w:val="0095000C"/>
    <w:rsid w:val="009535E0"/>
    <w:rsid w:val="00977CB7"/>
    <w:rsid w:val="00992554"/>
    <w:rsid w:val="009D562B"/>
    <w:rsid w:val="009E5EA3"/>
    <w:rsid w:val="00A713E1"/>
    <w:rsid w:val="00AC691C"/>
    <w:rsid w:val="00AC70DD"/>
    <w:rsid w:val="00AD7991"/>
    <w:rsid w:val="00B1092D"/>
    <w:rsid w:val="00B2328C"/>
    <w:rsid w:val="00B35ACA"/>
    <w:rsid w:val="00B44255"/>
    <w:rsid w:val="00B62FCD"/>
    <w:rsid w:val="00B732F1"/>
    <w:rsid w:val="00BA7FDA"/>
    <w:rsid w:val="00BB0B4E"/>
    <w:rsid w:val="00BF00D8"/>
    <w:rsid w:val="00BF34CC"/>
    <w:rsid w:val="00BF6A6B"/>
    <w:rsid w:val="00C7712A"/>
    <w:rsid w:val="00C84F4E"/>
    <w:rsid w:val="00C859E9"/>
    <w:rsid w:val="00C85A3F"/>
    <w:rsid w:val="00CD78D8"/>
    <w:rsid w:val="00D217A3"/>
    <w:rsid w:val="00D66608"/>
    <w:rsid w:val="00DA2DD4"/>
    <w:rsid w:val="00DA5252"/>
    <w:rsid w:val="00DB1DF7"/>
    <w:rsid w:val="00DD2880"/>
    <w:rsid w:val="00E03EA8"/>
    <w:rsid w:val="00E1325F"/>
    <w:rsid w:val="00E16E89"/>
    <w:rsid w:val="00E26C14"/>
    <w:rsid w:val="00E4793F"/>
    <w:rsid w:val="00E65B42"/>
    <w:rsid w:val="00E75D6C"/>
    <w:rsid w:val="00E77470"/>
    <w:rsid w:val="00E83209"/>
    <w:rsid w:val="00E94F01"/>
    <w:rsid w:val="00EB14DB"/>
    <w:rsid w:val="00ED0BEF"/>
    <w:rsid w:val="00EE2A30"/>
    <w:rsid w:val="00F216B4"/>
    <w:rsid w:val="00F27305"/>
    <w:rsid w:val="00F74EE6"/>
    <w:rsid w:val="00F7530F"/>
    <w:rsid w:val="00FB19C2"/>
    <w:rsid w:val="00FE5CCB"/>
    <w:rsid w:val="00FF2395"/>
    <w:rsid w:val="00FF2933"/>
    <w:rsid w:val="00FF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CE447"/>
  <w15:docId w15:val="{0640F0FA-F2C3-4888-BD93-ABA0441A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rsid w:val="002F3DC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F3DC3"/>
    <w:rPr>
      <w:rFonts w:ascii="Times New Roman" w:eastAsia="Times New Roman" w:hAnsi="Times New Roman" w:cs="Times New Roman"/>
      <w:szCs w:val="20"/>
      <w:lang w:eastAsia="cs-CZ"/>
    </w:rPr>
  </w:style>
  <w:style w:type="character" w:styleId="Znakapoznpodarou">
    <w:name w:val="footnote reference"/>
    <w:semiHidden/>
    <w:rsid w:val="002F3DC3"/>
    <w:rPr>
      <w:vertAlign w:val="superscript"/>
    </w:rPr>
  </w:style>
  <w:style w:type="paragraph" w:styleId="Zkladntextodsazen">
    <w:name w:val="Body Text Indent"/>
    <w:basedOn w:val="Normln"/>
    <w:link w:val="ZkladntextodsazenChar"/>
    <w:rsid w:val="004462D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4462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int0">
    <w:name w:val="Point 0"/>
    <w:basedOn w:val="Normln"/>
    <w:rsid w:val="00FE5CCB"/>
    <w:pPr>
      <w:spacing w:before="120" w:after="120"/>
      <w:ind w:left="850" w:hanging="850"/>
      <w:jc w:val="both"/>
    </w:pPr>
    <w:rPr>
      <w:rFonts w:eastAsia="Calibri"/>
      <w:lang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EE2A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2A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2A30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2A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2A30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2A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2A3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E4793F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B7584-87DE-43AC-9A87-30B3011BA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698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Bosáková Dana Ing.</dc:creator>
  <cp:lastModifiedBy>Pospíšek Jaroslav, Ing.</cp:lastModifiedBy>
  <cp:revision>7</cp:revision>
  <dcterms:created xsi:type="dcterms:W3CDTF">2021-07-09T10:08:00Z</dcterms:created>
  <dcterms:modified xsi:type="dcterms:W3CDTF">2021-07-15T12:45:00Z</dcterms:modified>
</cp:coreProperties>
</file>